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bidi w:val="0"/>
        <w:spacing w:before="240" w:after="120"/>
        <w:rPr/>
      </w:pPr>
      <w:r>
        <w:rPr/>
        <w:t>The Hermeneutics of Unity in and after Scripture 2026: Genesis 11:10–25:11</w:t>
      </w:r>
    </w:p>
    <w:p>
      <w:pPr>
        <w:pStyle w:val="Heading1"/>
        <w:numPr>
          <w:ilvl w:val="0"/>
          <w:numId w:val="1"/>
        </w:numPr>
        <w:bidi w:val="0"/>
        <w:ind w:hanging="0" w:start="0"/>
        <w:jc w:val="start"/>
        <w:rPr/>
      </w:pPr>
      <w:bookmarkStart w:id="0" w:name="_e6s9z8nco9xr"/>
      <w:bookmarkEnd w:id="0"/>
      <w:r>
        <w:rPr/>
        <w:t>Website Section Abstract</w:t>
      </w:r>
    </w:p>
    <w:p>
      <w:pPr>
        <w:pStyle w:val="Normal"/>
        <w:bidi w:val="0"/>
        <w:jc w:val="start"/>
        <w:rPr/>
      </w:pPr>
      <w:bookmarkStart w:id="1" w:name="_9u1k0gchjn0l"/>
      <w:bookmarkEnd w:id="1"/>
      <w:r>
        <w:rPr/>
        <w:t>The “Hermeneutics of Unity in and after Scripture” section explores the hermeneutics of unity involved in the reception of earlier texts by later ones within the biblical corpus, as well as by other authors and communities in Second Temple Judaism, early and medieval Christianity, and more contemporary periods. Across this literature, focused attention is given to the nature of the hermeneutic employed to foster and protect continued unity within each respective interpreting community.</w:t>
      </w:r>
    </w:p>
    <w:p>
      <w:pPr>
        <w:pStyle w:val="Normal"/>
        <w:bidi w:val="0"/>
        <w:jc w:val="start"/>
        <w:rPr/>
      </w:pPr>
      <w:bookmarkStart w:id="2" w:name="_99qxe9dgtzyh"/>
      <w:bookmarkEnd w:id="2"/>
      <w:r>
        <w:rPr/>
        <w:t>The section conceives of "hermeneutics" in a general sense that includes specific exegetical techniques but also directs attention to the presuppositions or worldviews that direct the applications of these techniques. Because "unity" has various conflicting definitions, the section welcomes explorations of these various kinds of unity, their promises, and their problems. The section further welcomes explorations of the hermeneutics of unity, whether that unity moves toward positive ends (e.g., orthodoxy, orthopraxy) or negative ones (e.g., slavery, segregation, anti-Semitism).</w:t>
      </w:r>
    </w:p>
    <w:p>
      <w:pPr>
        <w:pStyle w:val="Heading1"/>
        <w:numPr>
          <w:ilvl w:val="0"/>
          <w:numId w:val="1"/>
        </w:numPr>
        <w:bidi w:val="0"/>
        <w:ind w:hanging="0" w:start="0"/>
        <w:jc w:val="start"/>
        <w:rPr/>
      </w:pPr>
      <w:bookmarkStart w:id="3" w:name="_aty2bu748cc4"/>
      <w:bookmarkEnd w:id="3"/>
      <w:r>
        <w:rPr/>
        <w:t>Additional Section Details</w:t>
      </w:r>
    </w:p>
    <w:p>
      <w:pPr>
        <w:pStyle w:val="Normal"/>
        <w:bidi w:val="0"/>
        <w:jc w:val="start"/>
        <w:rPr/>
      </w:pPr>
      <w:bookmarkStart w:id="4" w:name="_fml9nvc5w1db"/>
      <w:bookmarkEnd w:id="4"/>
      <w:r>
        <w:rPr/>
        <w:t>This year's papers treat the reception of Gen 11:10–25:11. Having addressed Gen 16 in 2023, Gen 19 and 22 in 2024, and Gen 14 in 2025, this year's sessions will particularly focus on Gen 11:10–13:18; 15; 17–18; 20–21; and 23–25:11.</w:t>
      </w:r>
    </w:p>
    <w:p>
      <w:pPr>
        <w:pStyle w:val="Normal"/>
        <w:bidi w:val="0"/>
        <w:jc w:val="start"/>
        <w:rPr/>
      </w:pPr>
      <w:bookmarkStart w:id="5" w:name="_x6kxpu3r81y3"/>
      <w:bookmarkEnd w:id="5"/>
      <w:r>
        <w:rPr/>
        <w:t>A volume from the group's sessions on Gen 1:1–11:9 is forthcoming with Bloomsbury, where there has been interest in publishing further volumes in the sequence. So, paper drafts delivered at the conference should be of (nearly) publishable quality. Final essays will likely be of 7500 words (+/- 10%). In addition, although the section is addressing issues that have long been central to the Stone-Campbell tradition, participants should address their essays to a more general audience.</w:t>
      </w:r>
    </w:p>
    <w:p>
      <w:pPr>
        <w:pStyle w:val="Normal"/>
        <w:bidi w:val="0"/>
        <w:jc w:val="start"/>
        <w:rPr/>
      </w:pPr>
      <w:bookmarkStart w:id="6" w:name="_pwkcjqyhvmgq"/>
      <w:bookmarkEnd w:id="6"/>
      <w:r>
        <w:rPr/>
        <w:t>The conveners will both invite participants and welcome unsolicited proposals by email (</w:t>
      </w:r>
      <w:hyperlink r:id="rId2">
        <w:r>
          <w:rPr>
            <w:rStyle w:val="Style7"/>
            <w:color w:val="1155CC"/>
            <w:u w:val="single"/>
          </w:rPr>
          <w:t>david@jdavidstark.com</w:t>
        </w:r>
      </w:hyperlink>
      <w:r>
        <w:rPr/>
        <w:t xml:space="preserve">, </w:t>
      </w:r>
      <w:hyperlink r:id="rId3">
        <w:r>
          <w:rPr>
            <w:rStyle w:val="Style7"/>
            <w:color w:val="1155CC"/>
            <w:u w:val="single"/>
          </w:rPr>
          <w:t>doden@harding.edu</w:t>
        </w:r>
      </w:hyperlink>
      <w:r>
        <w:rPr/>
        <w:t>). Unsolicited proposals submitted by email should include a title and 85–100-word abstract.</w:t>
      </w:r>
    </w:p>
    <w:p>
      <w:pPr>
        <w:pStyle w:val="Heading1"/>
        <w:numPr>
          <w:ilvl w:val="0"/>
          <w:numId w:val="1"/>
        </w:numPr>
        <w:bidi w:val="0"/>
        <w:ind w:hanging="0" w:start="0"/>
        <w:jc w:val="start"/>
        <w:rPr/>
      </w:pPr>
      <w:bookmarkStart w:id="7" w:name="_x82f2ip8soti"/>
      <w:bookmarkEnd w:id="7"/>
      <w:r>
        <w:rPr/>
        <w:t>Program Abstract</w:t>
      </w:r>
    </w:p>
    <w:p>
      <w:pPr>
        <w:pStyle w:val="Normal"/>
        <w:bidi w:val="0"/>
        <w:jc w:val="start"/>
        <w:rPr/>
      </w:pPr>
      <w:bookmarkStart w:id="8" w:name="_9u1k0gchjn0l_Copy_1"/>
      <w:bookmarkEnd w:id="8"/>
      <w:r>
        <w:rPr/>
        <w:t>The “Hermeneutics of Unity in and after Scripture” section explores the hermeneutics of unity involved in the reception of earlier texts by later ones within the biblical corpus, as well as by other authors and communities in Second Temple Judaism, early and medieval Christianity, and more contemporary periods. Across this literature, focused attention is given to the nature of the hermeneutic employed to foster and protect continued unity within each respective interpreting community. This year's sessions treat the reception of Gen 11:10–25:11 and welcome explorations of the hermeneutics of unity, whether that unity moves toward positive or negative ends.</w:t>
      </w:r>
    </w:p>
    <w:p>
      <w:pPr>
        <w:pStyle w:val="Heading1"/>
        <w:numPr>
          <w:ilvl w:val="0"/>
          <w:numId w:val="1"/>
        </w:numPr>
        <w:bidi w:val="0"/>
        <w:ind w:hanging="0" w:start="0"/>
        <w:jc w:val="start"/>
        <w:rPr/>
      </w:pPr>
      <w:bookmarkStart w:id="9" w:name="_j43ix5u5t6vd"/>
      <w:bookmarkEnd w:id="9"/>
      <w:r>
        <w:rPr/>
        <w:t>Working Program (3 Sessions)</w:t>
      </w:r>
    </w:p>
    <w:p>
      <w:pPr>
        <w:pStyle w:val="Heading2"/>
        <w:numPr>
          <w:ilvl w:val="1"/>
          <w:numId w:val="1"/>
        </w:numPr>
        <w:bidi w:val="0"/>
        <w:ind w:hanging="0" w:start="0"/>
        <w:jc w:val="start"/>
        <w:rPr/>
      </w:pPr>
      <w:bookmarkStart w:id="10" w:name="_ryhleligtb3x"/>
      <w:bookmarkEnd w:id="10"/>
      <w:r>
        <w:rPr/>
        <w:t xml:space="preserve">Session 1: Review of </w:t>
      </w:r>
      <w:r>
        <w:rPr>
          <w:i/>
          <w:iCs/>
        </w:rPr>
        <w:t>Reading for Unity in Genesis 1:1–11:9</w:t>
      </w:r>
      <w:r>
        <w:rPr>
          <w:i w:val="false"/>
          <w:iCs w:val="false"/>
        </w:rPr>
        <w:t>, edited by Daniel B. Oden and J. David Stark</w:t>
      </w:r>
    </w:p>
    <w:p>
      <w:pPr>
        <w:pStyle w:val="Normal"/>
        <w:numPr>
          <w:ilvl w:val="1"/>
          <w:numId w:val="1"/>
        </w:numPr>
        <w:rPr/>
      </w:pPr>
      <w:r>
        <w:rPr>
          <w:i w:val="false"/>
          <w:iCs w:val="false"/>
        </w:rPr>
        <w:t>This session will be co-offered with Book Review – Recent Releases in Old Testament Studies. Please look to hear from either Kilnam Cha or Kevin Youngblood about the participant list and program. But of course, please feel free to ask if Daniel or David can be of any help.</w:t>
      </w:r>
    </w:p>
    <w:p>
      <w:pPr>
        <w:pStyle w:val="Heading2"/>
        <w:numPr>
          <w:ilvl w:val="1"/>
          <w:numId w:val="1"/>
        </w:numPr>
        <w:bidi w:val="0"/>
        <w:ind w:hanging="0" w:start="0"/>
        <w:jc w:val="start"/>
        <w:rPr/>
      </w:pPr>
      <w:bookmarkStart w:id="11" w:name="_z40kmwkjl9"/>
      <w:bookmarkEnd w:id="11"/>
      <w:r>
        <w:rPr/>
        <w:t>Session 2: New Papers</w:t>
      </w:r>
    </w:p>
    <w:p>
      <w:pPr>
        <w:pStyle w:val="Normal"/>
        <w:bidi w:val="0"/>
        <w:jc w:val="start"/>
        <w:rPr/>
      </w:pPr>
      <w:r>
        <w:rPr/>
        <w:t xml:space="preserve">Carl Flynn (Baylor University) and Chris Heard (Pepperdine University), “A Blessing to the Nations: Unity through Division </w:t>
      </w:r>
      <w:r>
        <w:rPr>
          <w:i/>
          <w:iCs/>
        </w:rPr>
        <w:t>intra ecc</w:t>
      </w:r>
      <w:r>
        <w:rPr>
          <w:i/>
          <w:iCs/>
        </w:rPr>
        <w:t>l</w:t>
      </w:r>
      <w:r>
        <w:rPr>
          <w:i/>
          <w:iCs/>
        </w:rPr>
        <w:t>esiam ad nauseum,</w:t>
      </w:r>
      <w:r>
        <w:rPr/>
        <w:t>” 20 mins</w:t>
      </w:r>
    </w:p>
    <w:p>
      <w:pPr>
        <w:pStyle w:val="BlockQuotationuser"/>
        <w:bidi w:val="0"/>
        <w:rPr/>
      </w:pPr>
      <w:r>
        <w:rPr/>
        <w:t>As we think about the hermeneutics of unity and disunity in Scripture, God’s promise to Abram in Gen 12:1–3 provides an interesting case study. In Genesis, God calls Abram to leave his people and land on the basis of God’s promise in 12:2 that Abram will be made a “great nation” that will be a blessing to all the families of the earth. Readers encounter tension in this text as separation becomes the foundation for a reimagined unity through God’s blessings. In essence, it is unity through distinction. In light of an initial analysis of the text of Gen 12:1–3, this paper will examine how contemporary American Evangelical Protestants appropriate this text in their theological imagination relative to the church and modern nation-states like the United States. A recent broadcast clash between political pundit Tucker Carlson and Senator Ted Cruz will set the stage for this conversation that will consider their respective theological traditions, the New Apostolic Reformation, Communion of Reformed Evangelical Churches, and churches in the Restoration Tradition. The assessment will conclude with a return to a critical reading of Gen 12 and a proposal for a reading of Gen 12 that embodies the theological vision of the text.</w:t>
      </w:r>
    </w:p>
    <w:p>
      <w:pPr>
        <w:pStyle w:val="Normal"/>
        <w:bidi w:val="0"/>
        <w:jc w:val="start"/>
        <w:rPr/>
      </w:pPr>
      <w:r>
        <w:rPr/>
        <w:t>Jeffrey Mooney (California Baptist University), response, 10 mins</w:t>
      </w:r>
    </w:p>
    <w:p>
      <w:pPr>
        <w:pStyle w:val="Normal"/>
        <w:bidi w:val="0"/>
        <w:jc w:val="start"/>
        <w:rPr/>
      </w:pPr>
      <w:r>
        <w:rPr/>
        <w:t>Greg Sterling (Yale Divinity School), “Reframing Immigration: Philo of Alexandria’s Interpretation of Gen 12:1–6,” 20 mins</w:t>
      </w:r>
    </w:p>
    <w:p>
      <w:pPr>
        <w:pStyle w:val="BlockQuotationuser"/>
        <w:rPr/>
      </w:pPr>
      <w:r>
        <w:rPr/>
        <w:t xml:space="preserve">Genesis 12:1–6 is a pivotal text in the story of Abraham and of the Bible more generally. Philo of Alexandria offered interpretations of it in two of his major commentary series: </w:t>
      </w:r>
      <w:r>
        <w:rPr>
          <w:i/>
          <w:iCs/>
        </w:rPr>
        <w:t>De migratione Abrahami</w:t>
      </w:r>
      <w:r>
        <w:rPr/>
        <w:t xml:space="preserve"> in the Allegorical Commentary and </w:t>
      </w:r>
      <w:r>
        <w:rPr>
          <w:i/>
          <w:iCs/>
        </w:rPr>
        <w:t>De Abrahamo</w:t>
      </w:r>
      <w:r>
        <w:rPr/>
        <w:t xml:space="preserve"> 60–88 in the Exposition of the Law. This paper will compare the two treatments and ask whether they assist us in understanding the nature and relationship of the two commentary series. We will also address the value of multiple readings of a single text.</w:t>
      </w:r>
    </w:p>
    <w:p>
      <w:pPr>
        <w:pStyle w:val="Normal"/>
        <w:bidi w:val="0"/>
        <w:jc w:val="start"/>
        <w:rPr/>
      </w:pPr>
      <w:r>
        <w:rPr/>
        <w:t>Ronald Cox (Pepperdine University), response, 10 mins</w:t>
      </w:r>
    </w:p>
    <w:p>
      <w:pPr>
        <w:pStyle w:val="Heading2"/>
        <w:numPr>
          <w:ilvl w:val="1"/>
          <w:numId w:val="1"/>
        </w:numPr>
        <w:bidi w:val="0"/>
        <w:ind w:hanging="0" w:start="0"/>
        <w:jc w:val="start"/>
        <w:rPr/>
      </w:pPr>
      <w:bookmarkStart w:id="12" w:name="_c8xtdie8ni8p"/>
      <w:bookmarkEnd w:id="12"/>
      <w:r>
        <w:rPr/>
        <w:t>Session 3: Planning for 2027</w:t>
      </w:r>
    </w:p>
    <w:p>
      <w:pPr>
        <w:pStyle w:val="Normal"/>
        <w:bidi w:val="0"/>
        <w:jc w:val="start"/>
        <w:rPr>
          <w:b/>
          <w:bCs/>
          <w:i/>
          <w:i/>
          <w:iCs/>
        </w:rPr>
      </w:pPr>
      <w:r>
        <w:drawing>
          <wp:anchor behindDoc="0" distT="0" distB="0" distL="0" distR="0" simplePos="0" locked="0" layoutInCell="0" allowOverlap="1" relativeHeight="2">
            <wp:simplePos x="0" y="0"/>
            <wp:positionH relativeFrom="column">
              <wp:align>right</wp:align>
            </wp:positionH>
            <wp:positionV relativeFrom="paragraph">
              <wp:posOffset>26670</wp:posOffset>
            </wp:positionV>
            <wp:extent cx="1100455" cy="1014730"/>
            <wp:effectExtent l="0" t="0" r="0" b="0"/>
            <wp:wrapSquare wrapText="left"/>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noChangeArrowheads="1"/>
                    </pic:cNvPicPr>
                  </pic:nvPicPr>
                  <pic:blipFill>
                    <a:blip r:embed="rId4"/>
                    <a:stretch>
                      <a:fillRect/>
                    </a:stretch>
                  </pic:blipFill>
                  <pic:spPr bwMode="auto">
                    <a:xfrm>
                      <a:off x="0" y="0"/>
                      <a:ext cx="1100455" cy="1014730"/>
                    </a:xfrm>
                    <a:prstGeom prst="rect">
                      <a:avLst/>
                    </a:prstGeom>
                    <a:noFill/>
                  </pic:spPr>
                </pic:pic>
              </a:graphicData>
            </a:graphic>
          </wp:anchor>
        </w:drawing>
      </w:r>
      <w:r>
        <w:rPr>
          <w:b/>
          <w:bCs/>
          <w:i/>
          <w:iCs/>
        </w:rPr>
        <w:t xml:space="preserve">During the conference, we'd like to request a space where we can convene a planning meeting for next year. We'd like to have this session appear in the program with the abstract below and, ideally, not conflict with a "headliner" session. For better results when printing the program, please download </w:t>
      </w:r>
      <w:hyperlink r:id="rId5">
        <w:r>
          <w:rPr>
            <w:rStyle w:val="Hyperlink"/>
            <w:b/>
            <w:bCs/>
            <w:i/>
            <w:iCs/>
          </w:rPr>
          <w:t>this copy of the original QR code file</w:t>
        </w:r>
      </w:hyperlink>
      <w:r>
        <w:rPr>
          <w:b/>
          <w:bCs/>
          <w:i/>
          <w:iCs/>
        </w:rPr>
        <w:t xml:space="preserve">. Or if its easier to print a text URL in lieu of the QR code, you can use </w:t>
      </w:r>
      <w:hyperlink r:id="rId6">
        <w:r>
          <w:rPr>
            <w:rStyle w:val="Hyperlink"/>
            <w:b/>
            <w:bCs/>
            <w:i/>
            <w:iCs/>
          </w:rPr>
          <w:t>jdavidstark.com/csc</w:t>
        </w:r>
      </w:hyperlink>
      <w:r>
        <w:rPr>
          <w:b/>
          <w:bCs/>
          <w:i/>
          <w:iCs/>
        </w:rPr>
        <w:t>.</w:t>
      </w:r>
    </w:p>
    <w:p>
      <w:pPr>
        <w:pStyle w:val="Normal"/>
        <w:bidi w:val="0"/>
        <w:spacing w:before="0" w:after="245"/>
        <w:jc w:val="start"/>
        <w:rPr/>
      </w:pPr>
      <w:r>
        <w:rPr/>
        <w:t>Please join us for a breakfast discussion where we will work to lay plans for the group into next year and thereafter. This discussion is open to all who are interested in the work of the Hermeneutics of Unity in and after Scripture session. If you will not be able to attend the breakfast session but would like to join the group's mailing list, please give us your email address by visiting the provided QR code.</w:t>
      </w:r>
    </w:p>
    <w:sectPr>
      <w:type w:val="nextPage"/>
      <w:pgSz w:w="12240" w:h="15840"/>
      <w:pgMar w:left="1134" w:right="1134" w:gutter="0" w:header="0" w:top="1134" w:footer="0" w:bottom="1134"/>
      <w:pgNumType w:start="1"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family w:val="swiss"/>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1"/>
      <w:lvlJc w:val="start"/>
      <w:pPr>
        <w:tabs>
          <w:tab w:val="num" w:pos="0"/>
        </w:tabs>
        <w:ind w:start="0" w:hanging="0"/>
      </w:pPr>
      <w:rPr/>
    </w:lvl>
    <w:lvl w:ilvl="1">
      <w:start w:val="1"/>
      <w:numFmt w:val="none"/>
      <w:suff w:val="nothing"/>
      <w:lvlText w:val="%2"/>
      <w:lvlJc w:val="start"/>
      <w:pPr>
        <w:tabs>
          <w:tab w:val="num" w:pos="0"/>
        </w:tabs>
        <w:ind w:start="0" w:hanging="0"/>
      </w:pPr>
      <w:rPr/>
    </w:lvl>
    <w:lvl w:ilvl="2">
      <w:start w:val="1"/>
      <w:numFmt w:val="none"/>
      <w:suff w:val="nothing"/>
      <w:lvlText w:val="%3"/>
      <w:lvlJc w:val="start"/>
      <w:pPr>
        <w:tabs>
          <w:tab w:val="num" w:pos="0"/>
        </w:tabs>
        <w:ind w:start="0" w:hanging="0"/>
      </w:pPr>
      <w:rPr/>
    </w:lvl>
    <w:lvl w:ilvl="3">
      <w:start w:val="1"/>
      <w:numFmt w:val="none"/>
      <w:suff w:val="nothing"/>
      <w:lvlText w:val="%4"/>
      <w:lvlJc w:val="start"/>
      <w:pPr>
        <w:tabs>
          <w:tab w:val="num" w:pos="0"/>
        </w:tabs>
        <w:ind w:start="0" w:hanging="0"/>
      </w:pPr>
      <w:rPr/>
    </w:lvl>
    <w:lvl w:ilvl="4">
      <w:start w:val="1"/>
      <w:numFmt w:val="none"/>
      <w:suff w:val="nothing"/>
      <w:lvlText w:val="%5"/>
      <w:lvlJc w:val="start"/>
      <w:pPr>
        <w:tabs>
          <w:tab w:val="num" w:pos="0"/>
        </w:tabs>
        <w:ind w:start="0" w:hanging="0"/>
      </w:pPr>
      <w:rPr/>
    </w:lvl>
    <w:lvl w:ilvl="5">
      <w:start w:val="1"/>
      <w:numFmt w:val="none"/>
      <w:suff w:val="nothing"/>
      <w:lvlText w:val="%6"/>
      <w:lvlJc w:val="start"/>
      <w:pPr>
        <w:tabs>
          <w:tab w:val="num" w:pos="0"/>
        </w:tabs>
        <w:ind w:start="0" w:hanging="0"/>
      </w:pPr>
      <w:rPr/>
    </w:lvl>
    <w:lvl w:ilvl="6">
      <w:start w:val="1"/>
      <w:numFmt w:val="none"/>
      <w:suff w:val="nothing"/>
      <w:lvlText w:val="%7"/>
      <w:lvlJc w:val="start"/>
      <w:pPr>
        <w:tabs>
          <w:tab w:val="num" w:pos="0"/>
        </w:tabs>
        <w:ind w:start="0" w:hanging="0"/>
      </w:pPr>
      <w:rPr/>
    </w:lvl>
    <w:lvl w:ilvl="7">
      <w:start w:val="1"/>
      <w:numFmt w:val="none"/>
      <w:suff w:val="nothing"/>
      <w:lvlText w:val="%8"/>
      <w:lvlJc w:val="start"/>
      <w:pPr>
        <w:tabs>
          <w:tab w:val="num" w:pos="0"/>
        </w:tabs>
        <w:ind w:start="0" w:hanging="0"/>
      </w:pPr>
      <w:rPr/>
    </w:lvl>
    <w:lvl w:ilvl="8">
      <w:start w:val="1"/>
      <w:numFmt w:val="none"/>
      <w:suff w:val="nothing"/>
      <w:lvlText w:val="%9"/>
      <w:lvlJc w:val="start"/>
      <w:pPr>
        <w:tabs>
          <w:tab w:val="num" w:pos="0"/>
        </w:tabs>
        <w:ind w:start="0" w:hanging="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200"/>
  <w:defaultTabStop w:val="709"/>
  <w:mailMerge>
    <w:mainDocumentType w:val="formLetters"/>
    <w:dataType w:val="textFile"/>
    <w:query w:val="SELECT * FROM Syllabus Data.dbo.Date Data$"/>
  </w:mailMerge>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ans" w:hAnsi="Liberation Sans" w:eastAsia="Noto Serif CJK SC" w:cs="FreeSans"/>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overflowPunct w:val="false"/>
      <w:bidi w:val="0"/>
      <w:spacing w:before="0" w:after="245"/>
      <w:jc w:val="start"/>
    </w:pPr>
    <w:rPr>
      <w:rFonts w:ascii="Liberation Sans" w:hAnsi="Liberation Sans" w:eastAsia="Noto Serif CJK SC" w:cs="FreeSans"/>
      <w:color w:val="auto"/>
      <w:kern w:val="2"/>
      <w:sz w:val="24"/>
      <w:szCs w:val="24"/>
      <w:lang w:val="en-US" w:eastAsia="zh-CN" w:bidi="hi-IN"/>
    </w:rPr>
  </w:style>
  <w:style w:type="paragraph" w:styleId="Heading1">
    <w:name w:val="heading 1"/>
    <w:basedOn w:val="Heading"/>
    <w:next w:val="BodyText"/>
    <w:qFormat/>
    <w:pPr>
      <w:numPr>
        <w:ilvl w:val="0"/>
        <w:numId w:val="1"/>
      </w:numPr>
      <w:spacing w:before="240" w:after="120"/>
      <w:outlineLvl w:val="0"/>
    </w:pPr>
    <w:rPr>
      <w:b/>
      <w:bCs/>
      <w:sz w:val="36"/>
      <w:szCs w:val="36"/>
    </w:rPr>
  </w:style>
  <w:style w:type="paragraph" w:styleId="Heading2">
    <w:name w:val="heading 2"/>
    <w:basedOn w:val="Heading"/>
    <w:next w:val="BodyText"/>
    <w:qFormat/>
    <w:pPr>
      <w:numPr>
        <w:ilvl w:val="1"/>
        <w:numId w:val="1"/>
      </w:numPr>
      <w:spacing w:before="200" w:after="120"/>
      <w:outlineLvl w:val="1"/>
    </w:pPr>
    <w:rPr>
      <w:b/>
      <w:bCs/>
      <w:sz w:val="32"/>
      <w:szCs w:val="32"/>
    </w:rPr>
  </w:style>
  <w:style w:type="character" w:styleId="Hyperlink">
    <w:name w:val="Hyperlink"/>
    <w:rPr>
      <w:color w:val="000080"/>
      <w:u w:val="single"/>
    </w:rPr>
  </w:style>
  <w:style w:type="character" w:styleId="FollowedHyperlink">
    <w:name w:val="FollowedHyperlink"/>
    <w:rPr>
      <w:color w:val="800000"/>
      <w:u w:val="single"/>
    </w:rPr>
  </w:style>
  <w:style w:type="paragraph" w:styleId="Heading">
    <w:name w:val="Heading"/>
    <w:basedOn w:val="Normal"/>
    <w:next w:val="BodyText"/>
    <w:qFormat/>
    <w:pPr>
      <w:keepNext w:val="true"/>
      <w:spacing w:before="240" w:after="120"/>
    </w:pPr>
    <w:rPr>
      <w:rFonts w:ascii="Liberation Sans" w:hAnsi="Liberation Sans" w:eastAsia="Noto Sans CJK SC" w:cs="FreeSans"/>
      <w:sz w:val="24"/>
      <w:szCs w:val="28"/>
    </w:rPr>
  </w:style>
  <w:style w:type="paragraph" w:styleId="BodyText">
    <w:name w:val="Body Text"/>
    <w:basedOn w:val="Normal"/>
    <w:pPr>
      <w:spacing w:lineRule="auto" w:line="276" w:before="0" w:after="140"/>
    </w:pPr>
    <w:rPr/>
  </w:style>
  <w:style w:type="paragraph" w:styleId="List">
    <w:name w:val="List"/>
    <w:basedOn w:val="BodyText"/>
    <w:pPr/>
    <w:rPr>
      <w:rFonts w:ascii="Liberation Sans" w:hAnsi="Liberation Sans" w:cs="FreeSans"/>
    </w:rPr>
  </w:style>
  <w:style w:type="paragraph" w:styleId="Caption">
    <w:name w:val="caption"/>
    <w:basedOn w:val="Normal"/>
    <w:qFormat/>
    <w:pPr>
      <w:suppressLineNumbers/>
      <w:spacing w:before="120" w:after="120"/>
    </w:pPr>
    <w:rPr>
      <w:rFonts w:ascii="Liberation Sans" w:hAnsi="Liberation Sans" w:cs="FreeSans"/>
      <w:i/>
      <w:iCs/>
      <w:sz w:val="24"/>
      <w:szCs w:val="24"/>
    </w:rPr>
  </w:style>
  <w:style w:type="paragraph" w:styleId="Index">
    <w:name w:val="Index"/>
    <w:basedOn w:val="Normal"/>
    <w:qFormat/>
    <w:pPr>
      <w:suppressLineNumbers/>
    </w:pPr>
    <w:rPr>
      <w:rFonts w:ascii="Liberation Sans" w:hAnsi="Liberation Sans" w:cs="FreeSans"/>
    </w:rPr>
  </w:style>
  <w:style w:type="paragraph" w:styleId="Title">
    <w:name w:val="Title"/>
    <w:basedOn w:val="Heading"/>
    <w:next w:val="BodyText"/>
    <w:qFormat/>
    <w:pPr>
      <w:jc w:val="center"/>
    </w:pPr>
    <w:rPr>
      <w:b/>
      <w:bCs/>
      <w:sz w:val="56"/>
      <w:szCs w:val="56"/>
    </w:rPr>
  </w:style>
  <w:style w:type="paragraph" w:styleId="BlockQuotationuser">
    <w:name w:val="Block Quotation (user)"/>
    <w:basedOn w:val="Normal"/>
    <w:qFormat/>
    <w:pPr>
      <w:spacing w:before="0" w:after="283"/>
      <w:ind w:hanging="0" w:start="567" w:end="567"/>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david@jdavidstark.com" TargetMode="External"/><Relationship Id="rId3" Type="http://schemas.openxmlformats.org/officeDocument/2006/relationships/hyperlink" Target="mailto:doden@harding.edu" TargetMode="External"/><Relationship Id="rId4" Type="http://schemas.openxmlformats.org/officeDocument/2006/relationships/image" Target="media/image1.png"/><Relationship Id="rId5" Type="http://schemas.openxmlformats.org/officeDocument/2006/relationships/hyperlink" Target="https://csc.jdavidstark.com/Hermeneutics%20of%20Unity%20Mailing%20List%20QR%20Code.png" TargetMode="External"/><Relationship Id="rId6" Type="http://schemas.openxmlformats.org/officeDocument/2006/relationships/hyperlink" Target="http://jdavidstark.com/csc" TargetMode="Externa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203</TotalTime>
  <Application>LibreOffice/25.8.3.2$Linux_X86_64 LibreOffice_project/8ca8d55c161d602844f5428fa4b58097424e324e</Application>
  <AppVersion>15.0000</AppVersion>
  <Pages>3</Pages>
  <Words>997</Words>
  <Characters>5290</Characters>
  <CharactersWithSpaces>6250</CharactersWithSpaces>
  <Paragraphs>23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2025-06-06T10:18:50Z</dcterms:created>
  <dc:creator>J. David Stark</dc:creator>
  <dc:description/>
  <dc:language>en-US</dc:language>
  <cp:lastModifiedBy>J. David Stark</cp:lastModifiedBy>
  <dcterms:modified xsi:type="dcterms:W3CDTF">2025-12-10T14:49:44Z</dcterms:modified>
  <cp:revision>26</cp:revision>
  <dc:subject/>
  <dc:title/>
</cp:coreProperties>
</file>

<file path=docProps/custom.xml><?xml version="1.0" encoding="utf-8"?>
<Properties xmlns="http://schemas.openxmlformats.org/officeDocument/2006/custom-properties" xmlns:vt="http://schemas.openxmlformats.org/officeDocument/2006/docPropsVTypes"/>
</file>